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1E3056E1"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646C2">
        <w:rPr>
          <w:rFonts w:ascii="Arial" w:hAnsi="Arial"/>
          <w:b/>
          <w:sz w:val="24"/>
          <w:szCs w:val="24"/>
        </w:rPr>
        <w:t>4</w:t>
      </w:r>
      <w:r w:rsidRPr="00B64708">
        <w:rPr>
          <w:rFonts w:ascii="Arial" w:hAnsi="Arial"/>
          <w:b/>
          <w:i/>
          <w:noProof/>
          <w:sz w:val="24"/>
          <w:szCs w:val="24"/>
        </w:rPr>
        <w:tab/>
      </w:r>
      <w:r w:rsidRPr="00347FF7">
        <w:rPr>
          <w:rFonts w:ascii="Arial" w:hAnsi="Arial"/>
          <w:b/>
          <w:sz w:val="24"/>
          <w:szCs w:val="24"/>
        </w:rPr>
        <w:t>R4-2</w:t>
      </w:r>
      <w:r w:rsidR="001646C2">
        <w:rPr>
          <w:rFonts w:ascii="Arial" w:hAnsi="Arial"/>
          <w:b/>
          <w:sz w:val="24"/>
          <w:szCs w:val="24"/>
        </w:rPr>
        <w:t>50</w:t>
      </w:r>
      <w:r w:rsidR="003F2D45">
        <w:rPr>
          <w:rFonts w:ascii="Arial" w:hAnsi="Arial"/>
          <w:b/>
          <w:sz w:val="24"/>
          <w:szCs w:val="24"/>
        </w:rPr>
        <w:t>2017</w:t>
      </w:r>
    </w:p>
    <w:p w14:paraId="5D43EEDF" w14:textId="0E61DEF6" w:rsidR="00BD0D23" w:rsidRPr="00B64708" w:rsidRDefault="001646C2"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sidR="00114D43">
        <w:rPr>
          <w:rFonts w:ascii="Arial" w:hAnsi="Arial"/>
          <w:b/>
          <w:bCs/>
          <w:sz w:val="24"/>
          <w:szCs w:val="24"/>
        </w:rPr>
        <w:t>1</w:t>
      </w:r>
      <w:r>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sidR="00114D43">
        <w:rPr>
          <w:rFonts w:ascii="Arial" w:hAnsi="Arial"/>
          <w:b/>
          <w:bCs/>
          <w:sz w:val="24"/>
          <w:szCs w:val="24"/>
        </w:rPr>
        <w:t>2</w:t>
      </w:r>
      <w:r>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5AE4BF0D"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A047D0">
        <w:rPr>
          <w:rFonts w:ascii="Arial" w:hAnsi="Arial" w:cs="Arial"/>
          <w:sz w:val="24"/>
          <w:szCs w:val="22"/>
        </w:rPr>
        <w:t>7.7.1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6419DDD9"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A047D0">
        <w:rPr>
          <w:rFonts w:ascii="Arial" w:hAnsi="Arial" w:cs="Arial"/>
          <w:sz w:val="24"/>
          <w:lang w:val="en-US" w:eastAsia="ja-JP"/>
        </w:rPr>
        <w:t>UE RF requirements for (e)RedCap PC2 UE</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42F1EC10" w:rsidR="00284627" w:rsidRDefault="00A047D0" w:rsidP="00833CE7">
      <w:pPr>
        <w:spacing w:after="120"/>
        <w:jc w:val="both"/>
        <w:rPr>
          <w:lang w:eastAsia="ja-JP"/>
        </w:rPr>
      </w:pPr>
      <w:r>
        <w:rPr>
          <w:lang w:eastAsia="ja-JP"/>
        </w:rPr>
        <w:t xml:space="preserve">The work item scope for (e)RedCap PC2 was expanded in RAN#106 to include also </w:t>
      </w:r>
      <w:r w:rsidR="00FE2653">
        <w:rPr>
          <w:lang w:eastAsia="ja-JP"/>
        </w:rPr>
        <w:t xml:space="preserve">requirements for FDD bands. In this contribution UE requirements for FDD bands are discussed. </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C40FC98" w14:textId="77777777" w:rsidR="007E44DF" w:rsidRDefault="007E44DF" w:rsidP="00445E27">
      <w:pPr>
        <w:spacing w:after="120"/>
        <w:rPr>
          <w:bCs/>
        </w:rPr>
      </w:pPr>
    </w:p>
    <w:p w14:paraId="6F35A9FF" w14:textId="326385F1" w:rsidR="00FE2653" w:rsidRPr="00FE2653" w:rsidRDefault="00FE2653" w:rsidP="00445E27">
      <w:pPr>
        <w:spacing w:after="120"/>
        <w:rPr>
          <w:b/>
          <w:sz w:val="24"/>
          <w:szCs w:val="24"/>
          <w:u w:val="single"/>
        </w:rPr>
      </w:pPr>
      <w:r w:rsidRPr="00FE2653">
        <w:rPr>
          <w:b/>
          <w:sz w:val="24"/>
          <w:szCs w:val="24"/>
          <w:u w:val="single"/>
        </w:rPr>
        <w:t>TX requirements</w:t>
      </w:r>
    </w:p>
    <w:p w14:paraId="26EFD336" w14:textId="77777777" w:rsidR="00791384" w:rsidRDefault="00791384" w:rsidP="00FE2653">
      <w:pPr>
        <w:spacing w:after="120"/>
        <w:rPr>
          <w:bCs/>
        </w:rPr>
      </w:pPr>
    </w:p>
    <w:p w14:paraId="7B0BA1B0" w14:textId="40D51DAD" w:rsidR="00FE2653" w:rsidRDefault="000D5577" w:rsidP="00FE2653">
      <w:pPr>
        <w:spacing w:after="120"/>
        <w:rPr>
          <w:bCs/>
        </w:rPr>
      </w:pPr>
      <w:r>
        <w:rPr>
          <w:bCs/>
        </w:rPr>
        <w:t xml:space="preserve">RedCap was originally specified in Rel-17, and support for eRedCap was added in Rel-18. So far, </w:t>
      </w:r>
      <w:r w:rsidR="007E4267">
        <w:rPr>
          <w:bCs/>
        </w:rPr>
        <w:t xml:space="preserve">in </w:t>
      </w:r>
      <w:r>
        <w:rPr>
          <w:bCs/>
        </w:rPr>
        <w:t xml:space="preserve">rel-19 </w:t>
      </w:r>
      <w:r w:rsidR="007E4267">
        <w:rPr>
          <w:bCs/>
        </w:rPr>
        <w:t xml:space="preserve">requirements have been already agreed for TDD bands, while they have not yet been included into the specification. In all of the </w:t>
      </w:r>
      <w:r w:rsidR="00942166">
        <w:rPr>
          <w:bCs/>
        </w:rPr>
        <w:t xml:space="preserve">above cases, Tx requirements are the same as for non-RedCap UE. The only differentiation is that for RedCap </w:t>
      </w:r>
      <w:r w:rsidR="009D2918">
        <w:rPr>
          <w:bCs/>
        </w:rPr>
        <w:t>requirements are specified only up to 20 MHz channel bandwidth, and for (e)RedCap</w:t>
      </w:r>
      <w:r w:rsidR="00DF4C49">
        <w:rPr>
          <w:bCs/>
        </w:rPr>
        <w:t xml:space="preserve"> there is a capability to support only up to 25 RBs for 15 kHz SCS and 12 RBs for </w:t>
      </w:r>
      <w:r w:rsidR="00635C23">
        <w:rPr>
          <w:bCs/>
        </w:rPr>
        <w:t>30 kHz SCS. Still, for the channel bandwidths and RB allocations supported by (e)RedCap</w:t>
      </w:r>
      <w:r w:rsidR="004801FE">
        <w:rPr>
          <w:bCs/>
        </w:rPr>
        <w:t>, the same Tx requirements are applied.</w:t>
      </w:r>
    </w:p>
    <w:p w14:paraId="57AB80B6" w14:textId="77777777" w:rsidR="000D2C2C" w:rsidRDefault="0018610F" w:rsidP="00FE2653">
      <w:pPr>
        <w:spacing w:after="120"/>
        <w:rPr>
          <w:bCs/>
        </w:rPr>
      </w:pPr>
      <w:r>
        <w:rPr>
          <w:bCs/>
        </w:rPr>
        <w:t>This same principle should be applied also for (e)RedCap UEs supporting PC2 in FDD bands</w:t>
      </w:r>
      <w:r w:rsidR="00D560D6">
        <w:rPr>
          <w:bCs/>
        </w:rPr>
        <w:t xml:space="preserve">, as </w:t>
      </w:r>
      <w:r w:rsidR="004524C1">
        <w:rPr>
          <w:bCs/>
        </w:rPr>
        <w:t>transceivers, filters and power amplifiers used for RedCap do not fundamentally differ from non-RedCap, and can accommodate the same requirements</w:t>
      </w:r>
      <w:r w:rsidR="006B2F49">
        <w:rPr>
          <w:bCs/>
        </w:rPr>
        <w:t xml:space="preserve">. While for HD-FDD it is possible to apply </w:t>
      </w:r>
      <w:r w:rsidR="00B04CFA">
        <w:rPr>
          <w:bCs/>
        </w:rPr>
        <w:t xml:space="preserve">different filters, selection of those filters is an implementation </w:t>
      </w:r>
      <w:r w:rsidR="00482722">
        <w:rPr>
          <w:bCs/>
        </w:rPr>
        <w:t>choice and does not motivate or create any need to specify different 3GPP minimum requirements for transmitters</w:t>
      </w:r>
      <w:r w:rsidR="00733771">
        <w:rPr>
          <w:bCs/>
        </w:rPr>
        <w:t>.</w:t>
      </w:r>
    </w:p>
    <w:p w14:paraId="75B7F4F4" w14:textId="72D45BD9" w:rsidR="000D2C2C" w:rsidRDefault="000D2C2C" w:rsidP="00FE2653">
      <w:pPr>
        <w:spacing w:after="120"/>
        <w:rPr>
          <w:bCs/>
        </w:rPr>
      </w:pPr>
      <w:r>
        <w:rPr>
          <w:bCs/>
        </w:rPr>
        <w:t>When non-RedCap UE Tx requirements are applied to (e)RedCap</w:t>
      </w:r>
      <w:r w:rsidR="0021424D">
        <w:rPr>
          <w:bCs/>
        </w:rPr>
        <w:t xml:space="preserve">, it also means that band specific requirements like A-MPR </w:t>
      </w:r>
      <w:r w:rsidR="00775B37">
        <w:rPr>
          <w:bCs/>
        </w:rPr>
        <w:t>are</w:t>
      </w:r>
      <w:r w:rsidR="0021424D">
        <w:rPr>
          <w:bCs/>
        </w:rPr>
        <w:t xml:space="preserve"> the same.</w:t>
      </w:r>
      <w:r w:rsidR="00A6361D">
        <w:rPr>
          <w:bCs/>
        </w:rPr>
        <w:t xml:space="preserve"> There may be cases where 1Tx and 2Tx A-MPR is different for PC2. In such cases </w:t>
      </w:r>
      <w:r w:rsidR="00AC167E">
        <w:rPr>
          <w:bCs/>
        </w:rPr>
        <w:t xml:space="preserve">1 Tx A-MPR should be applied to PC2 (e)RedCap. 1 Tx architecture was agreed in R4-2306650 </w:t>
      </w:r>
      <w:r w:rsidR="00054F5E">
        <w:rPr>
          <w:bCs/>
        </w:rPr>
        <w:t xml:space="preserve">[1], </w:t>
      </w:r>
      <w:r w:rsidR="00AC167E">
        <w:rPr>
          <w:bCs/>
        </w:rPr>
        <w:t>and was originally motivated both by limiting cost and not having support for 2Tx features like UL-MIMO.</w:t>
      </w:r>
    </w:p>
    <w:p w14:paraId="1AEABE46" w14:textId="21FB1866" w:rsidR="004801FE" w:rsidRDefault="00733771" w:rsidP="00FE2653">
      <w:pPr>
        <w:spacing w:after="120"/>
        <w:rPr>
          <w:bCs/>
        </w:rPr>
      </w:pPr>
      <w:r>
        <w:rPr>
          <w:bCs/>
        </w:rPr>
        <w:t xml:space="preserve">Therefore, it is proposed that </w:t>
      </w:r>
      <w:r w:rsidR="004D36D1">
        <w:rPr>
          <w:bCs/>
        </w:rPr>
        <w:t>non-RedCap UE PC2 requirements are applied for RedCap UE with no changes</w:t>
      </w:r>
      <w:r w:rsidR="00AC167E">
        <w:rPr>
          <w:bCs/>
        </w:rPr>
        <w:t xml:space="preserve"> and based on 1 Tx architecture.</w:t>
      </w:r>
    </w:p>
    <w:p w14:paraId="7332F20A" w14:textId="2C290A52" w:rsidR="00A05B39" w:rsidRDefault="00A05B39" w:rsidP="00FE2653">
      <w:pPr>
        <w:spacing w:after="120"/>
        <w:rPr>
          <w:b/>
        </w:rPr>
      </w:pPr>
      <w:r>
        <w:rPr>
          <w:b/>
        </w:rPr>
        <w:t xml:space="preserve">Observation 1: </w:t>
      </w:r>
      <w:r w:rsidR="00962769">
        <w:rPr>
          <w:b/>
        </w:rPr>
        <w:t>For PC3 FDD, HD-FDD and TDD, as well as PC2 TDD, Tx requirements are the same for non-RedCap and RedCap UE</w:t>
      </w:r>
      <w:r w:rsidR="00F85067">
        <w:rPr>
          <w:b/>
        </w:rPr>
        <w:t xml:space="preserve"> apart from (e)RedCap restrictions on applicable channel bandwidths and RB allocations.</w:t>
      </w:r>
    </w:p>
    <w:p w14:paraId="7EC23EE4" w14:textId="19756C98" w:rsidR="000C213E" w:rsidRDefault="000C213E" w:rsidP="00FE2653">
      <w:pPr>
        <w:spacing w:after="120"/>
        <w:rPr>
          <w:b/>
        </w:rPr>
      </w:pPr>
      <w:r>
        <w:rPr>
          <w:b/>
        </w:rPr>
        <w:t xml:space="preserve">Observation 2: </w:t>
      </w:r>
      <w:r w:rsidR="005071C6">
        <w:rPr>
          <w:b/>
        </w:rPr>
        <w:t xml:space="preserve">RedCap does not support UL-MIMO and requirements are intended to based on 1 Tx architecture, as agreed in </w:t>
      </w:r>
      <w:r w:rsidR="00CE104F">
        <w:rPr>
          <w:b/>
        </w:rPr>
        <w:t>R4-2306650.</w:t>
      </w:r>
    </w:p>
    <w:p w14:paraId="7882277E" w14:textId="2A755B0E" w:rsidR="004D36D1" w:rsidRPr="004D36D1" w:rsidRDefault="004D36D1" w:rsidP="00FE2653">
      <w:pPr>
        <w:spacing w:after="120"/>
        <w:rPr>
          <w:b/>
        </w:rPr>
      </w:pPr>
      <w:r w:rsidRPr="004D36D1">
        <w:rPr>
          <w:b/>
        </w:rPr>
        <w:t>Proposal 1:</w:t>
      </w:r>
      <w:r>
        <w:rPr>
          <w:b/>
        </w:rPr>
        <w:t xml:space="preserve"> Non-RedCap UE RF requirements apply also for </w:t>
      </w:r>
      <w:r w:rsidR="00A05B39">
        <w:rPr>
          <w:b/>
        </w:rPr>
        <w:t>PC2 FDD (e)RedCap, taking into account the channel bandwidth and PRB restrictions for (e)RedCap.</w:t>
      </w:r>
    </w:p>
    <w:p w14:paraId="4D042056" w14:textId="1F7545D7" w:rsidR="00635C23" w:rsidRPr="00775B37" w:rsidRDefault="00775B37" w:rsidP="00FE2653">
      <w:pPr>
        <w:spacing w:after="120"/>
        <w:rPr>
          <w:b/>
        </w:rPr>
      </w:pPr>
      <w:r w:rsidRPr="00775B37">
        <w:rPr>
          <w:b/>
        </w:rPr>
        <w:t>Proposal 2: In case 1 Tx and 2 Tx PC2 A-MPR</w:t>
      </w:r>
      <w:r w:rsidR="00CE104F">
        <w:rPr>
          <w:b/>
        </w:rPr>
        <w:t xml:space="preserve"> (or other requirements)</w:t>
      </w:r>
      <w:r w:rsidRPr="00775B37">
        <w:rPr>
          <w:b/>
        </w:rPr>
        <w:t xml:space="preserve"> are different, 1 Tx requirements are applied for PC2 (e)RedCap.</w:t>
      </w:r>
    </w:p>
    <w:p w14:paraId="7496057B" w14:textId="77777777" w:rsidR="00791384" w:rsidRDefault="00791384" w:rsidP="00FE2653">
      <w:pPr>
        <w:spacing w:after="120"/>
        <w:rPr>
          <w:bCs/>
        </w:rPr>
      </w:pPr>
    </w:p>
    <w:p w14:paraId="47A94C0C" w14:textId="77777777" w:rsidR="00054F5E" w:rsidRDefault="00054F5E" w:rsidP="00791384">
      <w:pPr>
        <w:spacing w:after="120"/>
        <w:rPr>
          <w:b/>
          <w:sz w:val="24"/>
          <w:szCs w:val="24"/>
          <w:u w:val="single"/>
        </w:rPr>
      </w:pPr>
    </w:p>
    <w:p w14:paraId="0F6CE337" w14:textId="77777777" w:rsidR="00054F5E" w:rsidRDefault="00054F5E" w:rsidP="00791384">
      <w:pPr>
        <w:spacing w:after="120"/>
        <w:rPr>
          <w:b/>
          <w:sz w:val="24"/>
          <w:szCs w:val="24"/>
          <w:u w:val="single"/>
        </w:rPr>
      </w:pPr>
    </w:p>
    <w:p w14:paraId="59867DB5" w14:textId="44D7372F" w:rsidR="00791384" w:rsidRPr="00FE2653" w:rsidRDefault="00791384" w:rsidP="00791384">
      <w:pPr>
        <w:spacing w:after="120"/>
        <w:rPr>
          <w:b/>
          <w:sz w:val="24"/>
          <w:szCs w:val="24"/>
          <w:u w:val="single"/>
        </w:rPr>
      </w:pPr>
      <w:r>
        <w:rPr>
          <w:b/>
          <w:sz w:val="24"/>
          <w:szCs w:val="24"/>
          <w:u w:val="single"/>
        </w:rPr>
        <w:lastRenderedPageBreak/>
        <w:t>R</w:t>
      </w:r>
      <w:r w:rsidRPr="00FE2653">
        <w:rPr>
          <w:b/>
          <w:sz w:val="24"/>
          <w:szCs w:val="24"/>
          <w:u w:val="single"/>
        </w:rPr>
        <w:t>X requirements</w:t>
      </w:r>
    </w:p>
    <w:p w14:paraId="641E5107" w14:textId="2D3A1643" w:rsidR="00EA76D1" w:rsidRDefault="003E0DD0" w:rsidP="00445E27">
      <w:pPr>
        <w:spacing w:after="120"/>
        <w:rPr>
          <w:bCs/>
        </w:rPr>
      </w:pPr>
      <w:r>
        <w:rPr>
          <w:bCs/>
        </w:rPr>
        <w:t xml:space="preserve"> </w:t>
      </w:r>
      <w:r w:rsidR="00EA76D1">
        <w:rPr>
          <w:bCs/>
        </w:rPr>
        <w:t xml:space="preserve"> </w:t>
      </w:r>
    </w:p>
    <w:p w14:paraId="12E66B01" w14:textId="4AE8D9C9" w:rsidR="00EE29AE" w:rsidRDefault="0054732B" w:rsidP="00445E27">
      <w:pPr>
        <w:spacing w:after="120"/>
        <w:rPr>
          <w:bCs/>
        </w:rPr>
      </w:pPr>
      <w:r>
        <w:rPr>
          <w:bCs/>
        </w:rPr>
        <w:t>There</w:t>
      </w:r>
      <w:r w:rsidR="00685A68">
        <w:rPr>
          <w:bCs/>
        </w:rPr>
        <w:t xml:space="preserve"> are four cases for which RSD needs to be </w:t>
      </w:r>
      <w:r w:rsidR="00955355">
        <w:rPr>
          <w:bCs/>
        </w:rPr>
        <w:t>considered:</w:t>
      </w:r>
      <w:r w:rsidR="003538B2">
        <w:rPr>
          <w:bCs/>
        </w:rPr>
        <w:t xml:space="preserve"> </w:t>
      </w:r>
      <w:r w:rsidR="007759A8">
        <w:rPr>
          <w:bCs/>
        </w:rPr>
        <w:t>2Rx HD-FDD, 1Rx HD-FDD, 2Rx FDD</w:t>
      </w:r>
      <w:r w:rsidR="00BA73CB">
        <w:rPr>
          <w:bCs/>
        </w:rPr>
        <w:t xml:space="preserve">, and 1Rx FDD. </w:t>
      </w:r>
      <w:r w:rsidR="00542409">
        <w:rPr>
          <w:bCs/>
        </w:rPr>
        <w:t xml:space="preserve">For the </w:t>
      </w:r>
      <w:r w:rsidR="004919CA">
        <w:rPr>
          <w:bCs/>
        </w:rPr>
        <w:t>HD-FDD cases, increase in TX power is not impacting REFSENS</w:t>
      </w:r>
      <w:r w:rsidR="00955355">
        <w:rPr>
          <w:bCs/>
        </w:rPr>
        <w:t xml:space="preserve"> to there will be no impact due to PC2. </w:t>
      </w:r>
      <w:r w:rsidR="00733BAA">
        <w:rPr>
          <w:bCs/>
        </w:rPr>
        <w:t xml:space="preserve">For 2Rx FDD, </w:t>
      </w:r>
      <w:r w:rsidR="009243C2">
        <w:rPr>
          <w:bCs/>
        </w:rPr>
        <w:t>non-RedCap</w:t>
      </w:r>
      <w:r w:rsidR="00733BAA">
        <w:rPr>
          <w:bCs/>
        </w:rPr>
        <w:t xml:space="preserve"> </w:t>
      </w:r>
      <w:r w:rsidR="00DB0EF9">
        <w:rPr>
          <w:bCs/>
        </w:rPr>
        <w:t xml:space="preserve">1Tx </w:t>
      </w:r>
      <w:r w:rsidR="00733BAA">
        <w:rPr>
          <w:bCs/>
        </w:rPr>
        <w:t>PC2 REFSENS can be applied.</w:t>
      </w:r>
      <w:r w:rsidR="00DB0EF9">
        <w:rPr>
          <w:bCs/>
        </w:rPr>
        <w:t xml:space="preserve"> </w:t>
      </w:r>
    </w:p>
    <w:p w14:paraId="075DF905" w14:textId="1F15DDD4" w:rsidR="00425921" w:rsidRPr="00425921" w:rsidRDefault="00425921" w:rsidP="00425921">
      <w:pPr>
        <w:spacing w:after="120"/>
        <w:rPr>
          <w:b/>
        </w:rPr>
      </w:pPr>
      <w:r w:rsidRPr="00425921">
        <w:rPr>
          <w:b/>
        </w:rPr>
        <w:t xml:space="preserve">Proposal 3: RedCap PC3 REFSENS applies for RedCap </w:t>
      </w:r>
      <w:r>
        <w:rPr>
          <w:b/>
        </w:rPr>
        <w:t xml:space="preserve">PC2 </w:t>
      </w:r>
      <w:r w:rsidRPr="00425921">
        <w:rPr>
          <w:b/>
        </w:rPr>
        <w:t xml:space="preserve">1Tx/2Rx HD-HDD and for RedCap </w:t>
      </w:r>
      <w:r>
        <w:rPr>
          <w:b/>
        </w:rPr>
        <w:t xml:space="preserve">PC2 </w:t>
      </w:r>
      <w:r w:rsidRPr="00425921">
        <w:rPr>
          <w:b/>
        </w:rPr>
        <w:t>1Tx/1Rx HD-FDD</w:t>
      </w:r>
    </w:p>
    <w:p w14:paraId="7A9EF691" w14:textId="4B10214C" w:rsidR="00425921" w:rsidRDefault="00425921" w:rsidP="00445E27">
      <w:pPr>
        <w:spacing w:after="120"/>
        <w:rPr>
          <w:b/>
        </w:rPr>
      </w:pPr>
      <w:r w:rsidRPr="00425921">
        <w:rPr>
          <w:b/>
        </w:rPr>
        <w:t>Proposal 4: N</w:t>
      </w:r>
      <w:r w:rsidR="00CE3124">
        <w:rPr>
          <w:b/>
        </w:rPr>
        <w:t>on-RedCap</w:t>
      </w:r>
      <w:r w:rsidRPr="00425921">
        <w:rPr>
          <w:b/>
        </w:rPr>
        <w:t xml:space="preserve"> 1Tx PC2 REFSENS applie</w:t>
      </w:r>
      <w:r w:rsidR="00E406D2">
        <w:rPr>
          <w:b/>
        </w:rPr>
        <w:t>s</w:t>
      </w:r>
      <w:r w:rsidRPr="00425921">
        <w:rPr>
          <w:b/>
        </w:rPr>
        <w:t xml:space="preserve"> for RedCap </w:t>
      </w:r>
      <w:r>
        <w:rPr>
          <w:b/>
        </w:rPr>
        <w:t xml:space="preserve">PC2 </w:t>
      </w:r>
      <w:r w:rsidRPr="00425921">
        <w:rPr>
          <w:b/>
        </w:rPr>
        <w:t>1Tx/2Rx FDD</w:t>
      </w:r>
    </w:p>
    <w:p w14:paraId="117F304A" w14:textId="77777777" w:rsidR="00425921" w:rsidRPr="00425921" w:rsidRDefault="00425921" w:rsidP="00445E27">
      <w:pPr>
        <w:spacing w:after="120"/>
        <w:rPr>
          <w:b/>
        </w:rPr>
      </w:pPr>
    </w:p>
    <w:p w14:paraId="521D80C0" w14:textId="2B6F2EC3" w:rsidR="006F0E3B" w:rsidRDefault="00DB0EF9" w:rsidP="00445E27">
      <w:pPr>
        <w:spacing w:after="120"/>
        <w:rPr>
          <w:bCs/>
        </w:rPr>
      </w:pPr>
      <w:r>
        <w:rPr>
          <w:bCs/>
        </w:rPr>
        <w:t>The only case requiring a more detailed study is 1Rx FDD</w:t>
      </w:r>
      <w:r w:rsidR="00F66AA9">
        <w:rPr>
          <w:bCs/>
        </w:rPr>
        <w:t xml:space="preserve"> as there are no respective requirements defined for</w:t>
      </w:r>
      <w:r w:rsidR="00C026CF">
        <w:rPr>
          <w:bCs/>
        </w:rPr>
        <w:t xml:space="preserve"> non-RedCap</w:t>
      </w:r>
      <w:r w:rsidR="00F66AA9">
        <w:rPr>
          <w:bCs/>
        </w:rPr>
        <w:t>.</w:t>
      </w:r>
      <w:r w:rsidR="00EE29AE">
        <w:rPr>
          <w:bCs/>
        </w:rPr>
        <w:t xml:space="preserve"> </w:t>
      </w:r>
      <w:r w:rsidR="00703A01">
        <w:rPr>
          <w:bCs/>
        </w:rPr>
        <w:t>In th</w:t>
      </w:r>
      <w:r w:rsidR="00A3553B">
        <w:rPr>
          <w:bCs/>
        </w:rPr>
        <w:t>a</w:t>
      </w:r>
      <w:r w:rsidR="00703A01">
        <w:rPr>
          <w:bCs/>
        </w:rPr>
        <w:t>t, the existing RSD’s defined for 1Tx/2Rx</w:t>
      </w:r>
      <w:r w:rsidR="00E406D2">
        <w:rPr>
          <w:bCs/>
        </w:rPr>
        <w:t xml:space="preserve"> could be used as a reference </w:t>
      </w:r>
      <w:r w:rsidR="00903CEE">
        <w:rPr>
          <w:bCs/>
        </w:rPr>
        <w:t xml:space="preserve">to make sure </w:t>
      </w:r>
      <w:r w:rsidR="00290809">
        <w:rPr>
          <w:bCs/>
        </w:rPr>
        <w:t xml:space="preserve">there is reasonable relation between </w:t>
      </w:r>
      <w:r w:rsidR="00903CEE">
        <w:rPr>
          <w:bCs/>
        </w:rPr>
        <w:t>2Rx FDD and 1Rx FDD RSD’</w:t>
      </w:r>
      <w:r w:rsidR="00290809">
        <w:rPr>
          <w:bCs/>
        </w:rPr>
        <w:t>s.</w:t>
      </w:r>
    </w:p>
    <w:p w14:paraId="10C18E72" w14:textId="0929B57A" w:rsidR="00A62885" w:rsidRPr="00C963BC" w:rsidRDefault="00EE29AE" w:rsidP="00445E27">
      <w:pPr>
        <w:spacing w:after="120"/>
        <w:rPr>
          <w:b/>
        </w:rPr>
      </w:pPr>
      <w:r w:rsidRPr="00C963BC">
        <w:rPr>
          <w:b/>
        </w:rPr>
        <w:t>Proposal 5:</w:t>
      </w:r>
      <w:r w:rsidR="00290809" w:rsidRPr="00C963BC">
        <w:rPr>
          <w:b/>
        </w:rPr>
        <w:t xml:space="preserve"> RedCap PC</w:t>
      </w:r>
      <w:r w:rsidR="00BC66B3" w:rsidRPr="00C963BC">
        <w:rPr>
          <w:b/>
        </w:rPr>
        <w:t>2</w:t>
      </w:r>
      <w:r w:rsidR="00290809" w:rsidRPr="00C963BC">
        <w:rPr>
          <w:b/>
        </w:rPr>
        <w:t xml:space="preserve"> 1Rx</w:t>
      </w:r>
      <w:r w:rsidR="00BC66B3" w:rsidRPr="00C963BC">
        <w:rPr>
          <w:b/>
        </w:rPr>
        <w:t xml:space="preserve"> </w:t>
      </w:r>
      <w:r w:rsidR="003D528D">
        <w:rPr>
          <w:b/>
        </w:rPr>
        <w:t xml:space="preserve">FDD </w:t>
      </w:r>
      <w:r w:rsidR="00BC66B3" w:rsidRPr="00C963BC">
        <w:rPr>
          <w:b/>
        </w:rPr>
        <w:t xml:space="preserve">REFSENS requires detailed study. </w:t>
      </w:r>
      <w:r w:rsidR="00066724" w:rsidRPr="00C963BC">
        <w:rPr>
          <w:b/>
        </w:rPr>
        <w:t>2Rx FDD RSD’s could be used as a reference to make sure there is reasonable relation between 2Rx FDD and 1Rx FDD RSD’s.</w:t>
      </w:r>
      <w:r w:rsidRPr="00C963BC">
        <w:rPr>
          <w:b/>
        </w:rPr>
        <w:t xml:space="preserve"> </w:t>
      </w:r>
      <w:r w:rsidR="00A62885" w:rsidRPr="00C963BC">
        <w:rPr>
          <w:b/>
        </w:rPr>
        <w:t xml:space="preserve">  </w:t>
      </w:r>
    </w:p>
    <w:p w14:paraId="652F6D2F" w14:textId="7B11397F" w:rsidR="005F17E8" w:rsidRDefault="00C026CF" w:rsidP="003425D9">
      <w:pPr>
        <w:spacing w:after="120"/>
        <w:rPr>
          <w:b/>
        </w:rPr>
      </w:pPr>
      <w:r>
        <w:rPr>
          <w:b/>
        </w:rPr>
        <w:t>Proposal 6:</w:t>
      </w:r>
      <w:r w:rsidR="00982AFC">
        <w:rPr>
          <w:b/>
        </w:rPr>
        <w:t xml:space="preserve"> RedCap PC2 REFSENS requirements apply also for </w:t>
      </w:r>
      <w:r w:rsidR="00AB47FD">
        <w:rPr>
          <w:b/>
        </w:rPr>
        <w:t>(e)</w:t>
      </w:r>
      <w:r w:rsidR="00982AFC">
        <w:rPr>
          <w:b/>
        </w:rPr>
        <w:t>RedCap</w:t>
      </w:r>
      <w:r w:rsidR="00AB47FD">
        <w:rPr>
          <w:b/>
        </w:rPr>
        <w:t>, taking into account the channel bandwidth and PRB restrictions for (e)RedCap.</w:t>
      </w:r>
      <w:r w:rsidR="00982AFC">
        <w:rPr>
          <w:b/>
        </w:rPr>
        <w:t xml:space="preserve"> </w:t>
      </w:r>
      <w:r>
        <w:rPr>
          <w:b/>
        </w:rPr>
        <w:t xml:space="preserve"> </w:t>
      </w:r>
    </w:p>
    <w:p w14:paraId="1C327FC9" w14:textId="77777777" w:rsidR="00567C4C" w:rsidRPr="00637ECA" w:rsidRDefault="00567C4C"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124C1A79" w:rsidR="00D645D7" w:rsidRDefault="00FE2653" w:rsidP="004F6404">
      <w:pPr>
        <w:spacing w:after="120"/>
        <w:jc w:val="both"/>
        <w:rPr>
          <w:lang w:eastAsia="ja-JP"/>
        </w:rPr>
      </w:pPr>
      <w:r>
        <w:rPr>
          <w:lang w:eastAsia="ja-JP"/>
        </w:rPr>
        <w:t xml:space="preserve">In this contribution UE requirements for (e)RedCap PC2 UEs for FDD bands were discussed. </w:t>
      </w:r>
      <w:r w:rsidR="00EB3836">
        <w:rPr>
          <w:lang w:eastAsia="ja-JP"/>
        </w:rPr>
        <w:t>Following observations and proposals were made</w:t>
      </w:r>
      <w:r w:rsidR="00250C3B">
        <w:rPr>
          <w:lang w:eastAsia="ja-JP"/>
        </w:rPr>
        <w:t>:</w:t>
      </w:r>
    </w:p>
    <w:p w14:paraId="0CA97A39" w14:textId="77777777" w:rsidR="00054F5E" w:rsidRDefault="00054F5E" w:rsidP="00054F5E">
      <w:pPr>
        <w:spacing w:after="120"/>
        <w:rPr>
          <w:b/>
        </w:rPr>
      </w:pPr>
      <w:r>
        <w:rPr>
          <w:b/>
        </w:rPr>
        <w:t>Observation 1: For PC3 FDD, HD-FDD and TDD, as well as PC2 TDD, Tx requirements are the same for non-RedCap and RedCap UE apart from (e)RedCap restrictions on applicable channel bandwidths and RB allocations.</w:t>
      </w:r>
    </w:p>
    <w:p w14:paraId="5CC285B1" w14:textId="77777777" w:rsidR="00054F5E" w:rsidRDefault="00054F5E" w:rsidP="00054F5E">
      <w:pPr>
        <w:spacing w:after="120"/>
        <w:rPr>
          <w:b/>
        </w:rPr>
      </w:pPr>
      <w:r>
        <w:rPr>
          <w:b/>
        </w:rPr>
        <w:t>Observation 2: RedCap does not support UL-MIMO and requirements are intended to based on 1 Tx architecture, as agreed in R4-2306650.</w:t>
      </w:r>
    </w:p>
    <w:p w14:paraId="2D8FBEDA" w14:textId="77777777" w:rsidR="00054F5E" w:rsidRPr="004D36D1" w:rsidRDefault="00054F5E" w:rsidP="00054F5E">
      <w:pPr>
        <w:spacing w:after="120"/>
        <w:rPr>
          <w:b/>
        </w:rPr>
      </w:pPr>
      <w:r w:rsidRPr="004D36D1">
        <w:rPr>
          <w:b/>
        </w:rPr>
        <w:t>Proposal 1:</w:t>
      </w:r>
      <w:r>
        <w:rPr>
          <w:b/>
        </w:rPr>
        <w:t xml:space="preserve"> Non-RedCap UE RF requirements apply also for PC2 FDD (e)RedCap, taking into account the channel bandwidth and PRB restrictions for (e)RedCap.</w:t>
      </w:r>
    </w:p>
    <w:p w14:paraId="7E998C14" w14:textId="77777777" w:rsidR="00054F5E" w:rsidRPr="00775B37" w:rsidRDefault="00054F5E" w:rsidP="00054F5E">
      <w:pPr>
        <w:spacing w:after="120"/>
        <w:rPr>
          <w:b/>
        </w:rPr>
      </w:pPr>
      <w:r w:rsidRPr="00775B37">
        <w:rPr>
          <w:b/>
        </w:rPr>
        <w:t>Proposal 2: In case 1 Tx and 2 Tx PC2 A-MPR</w:t>
      </w:r>
      <w:r>
        <w:rPr>
          <w:b/>
        </w:rPr>
        <w:t xml:space="preserve"> (or other requirements)</w:t>
      </w:r>
      <w:r w:rsidRPr="00775B37">
        <w:rPr>
          <w:b/>
        </w:rPr>
        <w:t xml:space="preserve"> are different, 1 Tx requirements are applied for PC2 (e)RedCap.</w:t>
      </w:r>
    </w:p>
    <w:p w14:paraId="3208C622" w14:textId="77777777" w:rsidR="008541A8" w:rsidRPr="00425921" w:rsidRDefault="008541A8" w:rsidP="008541A8">
      <w:pPr>
        <w:spacing w:after="120"/>
        <w:rPr>
          <w:b/>
        </w:rPr>
      </w:pPr>
      <w:r w:rsidRPr="00425921">
        <w:rPr>
          <w:b/>
        </w:rPr>
        <w:t xml:space="preserve">Proposal 3: RedCap PC3 REFSENS applies for RedCap </w:t>
      </w:r>
      <w:r>
        <w:rPr>
          <w:b/>
        </w:rPr>
        <w:t xml:space="preserve">PC2 </w:t>
      </w:r>
      <w:r w:rsidRPr="00425921">
        <w:rPr>
          <w:b/>
        </w:rPr>
        <w:t xml:space="preserve">1Tx/2Rx HD-HDD and for RedCap </w:t>
      </w:r>
      <w:r>
        <w:rPr>
          <w:b/>
        </w:rPr>
        <w:t xml:space="preserve">PC2 </w:t>
      </w:r>
      <w:r w:rsidRPr="00425921">
        <w:rPr>
          <w:b/>
        </w:rPr>
        <w:t>1Tx/1Rx HD-FDD</w:t>
      </w:r>
    </w:p>
    <w:p w14:paraId="15A5D375" w14:textId="77777777" w:rsidR="008541A8" w:rsidRDefault="008541A8" w:rsidP="008541A8">
      <w:pPr>
        <w:spacing w:after="120"/>
        <w:rPr>
          <w:b/>
        </w:rPr>
      </w:pPr>
      <w:r w:rsidRPr="00425921">
        <w:rPr>
          <w:b/>
        </w:rPr>
        <w:t>Proposal 4: N</w:t>
      </w:r>
      <w:r>
        <w:rPr>
          <w:b/>
        </w:rPr>
        <w:t>on-RedCap</w:t>
      </w:r>
      <w:r w:rsidRPr="00425921">
        <w:rPr>
          <w:b/>
        </w:rPr>
        <w:t xml:space="preserve"> 1Tx PC2 REFSENS applie</w:t>
      </w:r>
      <w:r>
        <w:rPr>
          <w:b/>
        </w:rPr>
        <w:t>s</w:t>
      </w:r>
      <w:r w:rsidRPr="00425921">
        <w:rPr>
          <w:b/>
        </w:rPr>
        <w:t xml:space="preserve"> for RedCap </w:t>
      </w:r>
      <w:r>
        <w:rPr>
          <w:b/>
        </w:rPr>
        <w:t xml:space="preserve">PC2 </w:t>
      </w:r>
      <w:r w:rsidRPr="00425921">
        <w:rPr>
          <w:b/>
        </w:rPr>
        <w:t>1Tx/2Rx FDD</w:t>
      </w:r>
    </w:p>
    <w:p w14:paraId="58DB22C6" w14:textId="151BEBFE" w:rsidR="008541A8" w:rsidRPr="00C963BC" w:rsidRDefault="008541A8" w:rsidP="008541A8">
      <w:pPr>
        <w:spacing w:after="120"/>
        <w:rPr>
          <w:b/>
        </w:rPr>
      </w:pPr>
      <w:r w:rsidRPr="00C963BC">
        <w:rPr>
          <w:b/>
        </w:rPr>
        <w:t xml:space="preserve">Proposal 5: RedCap PC2 1Rx </w:t>
      </w:r>
      <w:r w:rsidR="003D528D">
        <w:rPr>
          <w:b/>
        </w:rPr>
        <w:t xml:space="preserve">FDD </w:t>
      </w:r>
      <w:r w:rsidRPr="00C963BC">
        <w:rPr>
          <w:b/>
        </w:rPr>
        <w:t xml:space="preserve">REFSENS requires detailed study. 2Rx FDD RSD’s could be used as a reference to make sure there is reasonable relation between 2Rx FDD and 1Rx FDD RSD’s.   </w:t>
      </w:r>
    </w:p>
    <w:p w14:paraId="69D1DB92" w14:textId="77777777" w:rsidR="008541A8" w:rsidRDefault="008541A8" w:rsidP="008541A8">
      <w:pPr>
        <w:spacing w:after="120"/>
        <w:rPr>
          <w:b/>
        </w:rPr>
      </w:pPr>
      <w:r>
        <w:rPr>
          <w:b/>
        </w:rPr>
        <w:t xml:space="preserve">Proposal 6: RedCap PC2 REFSENS requirements apply also for (e)RedCap, taking into account the channel bandwidth and PRB restrictions for (e)RedCap.  </w:t>
      </w:r>
    </w:p>
    <w:p w14:paraId="33CF63CD" w14:textId="77777777" w:rsidR="009146A4" w:rsidRPr="00ED5A34" w:rsidRDefault="009146A4" w:rsidP="00ED5A34">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4B4ED11D" w14:textId="77777777" w:rsidR="00E11B6D" w:rsidRDefault="00E11B6D" w:rsidP="00E465BF">
      <w:pPr>
        <w:pStyle w:val="CRCoverPage"/>
        <w:spacing w:after="0"/>
        <w:ind w:left="538" w:hanging="438"/>
        <w:jc w:val="both"/>
        <w:rPr>
          <w:rFonts w:ascii="Times New Roman" w:eastAsia="MS Mincho" w:hAnsi="Times New Roman"/>
          <w:lang w:val="en-US" w:eastAsia="de-DE"/>
        </w:rPr>
      </w:pPr>
    </w:p>
    <w:p w14:paraId="414E1102" w14:textId="2472EDEA" w:rsidR="00E11B6D" w:rsidRPr="00E465BF" w:rsidRDefault="00E11B6D"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w:t>
      </w:r>
      <w:r w:rsidR="00712C66">
        <w:rPr>
          <w:rFonts w:ascii="Times New Roman" w:eastAsia="MS Mincho" w:hAnsi="Times New Roman"/>
          <w:lang w:val="en-US" w:eastAsia="de-DE"/>
        </w:rPr>
        <w:t>1</w:t>
      </w:r>
      <w:r>
        <w:rPr>
          <w:rFonts w:ascii="Times New Roman" w:eastAsia="MS Mincho" w:hAnsi="Times New Roman"/>
          <w:lang w:val="en-US" w:eastAsia="de-DE"/>
        </w:rPr>
        <w:t xml:space="preserve">]  </w:t>
      </w:r>
      <w:r w:rsidR="00054F5E">
        <w:rPr>
          <w:rFonts w:ascii="Times New Roman" w:eastAsia="MS Mincho" w:hAnsi="Times New Roman"/>
          <w:lang w:val="en-US" w:eastAsia="de-DE"/>
        </w:rPr>
        <w:t>R4-2306650, WF on RedCap HPUE, China Telecom</w:t>
      </w: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F74AB" w14:textId="77777777" w:rsidR="00FA7D6C" w:rsidRDefault="00FA7D6C">
      <w:r>
        <w:separator/>
      </w:r>
    </w:p>
  </w:endnote>
  <w:endnote w:type="continuationSeparator" w:id="0">
    <w:p w14:paraId="50B6CDEF" w14:textId="77777777" w:rsidR="00FA7D6C" w:rsidRDefault="00FA7D6C">
      <w:r>
        <w:continuationSeparator/>
      </w:r>
    </w:p>
  </w:endnote>
  <w:endnote w:type="continuationNotice" w:id="1">
    <w:p w14:paraId="7F73E575" w14:textId="77777777" w:rsidR="00FA7D6C" w:rsidRDefault="00FA7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487F" w14:textId="77777777" w:rsidR="00FA7D6C" w:rsidRDefault="00FA7D6C">
      <w:r>
        <w:separator/>
      </w:r>
    </w:p>
  </w:footnote>
  <w:footnote w:type="continuationSeparator" w:id="0">
    <w:p w14:paraId="044BF754" w14:textId="77777777" w:rsidR="00FA7D6C" w:rsidRDefault="00FA7D6C">
      <w:r>
        <w:continuationSeparator/>
      </w:r>
    </w:p>
  </w:footnote>
  <w:footnote w:type="continuationNotice" w:id="1">
    <w:p w14:paraId="70750A3F" w14:textId="77777777" w:rsidR="00FA7D6C" w:rsidRDefault="00FA7D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3B1C3E"/>
    <w:multiLevelType w:val="hybridMultilevel"/>
    <w:tmpl w:val="4E020A12"/>
    <w:lvl w:ilvl="0" w:tplc="D438067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FC01988"/>
    <w:multiLevelType w:val="hybridMultilevel"/>
    <w:tmpl w:val="7B062696"/>
    <w:lvl w:ilvl="0" w:tplc="A788AACE">
      <w:start w:val="1"/>
      <w:numFmt w:val="bullet"/>
      <w:lvlText w:val="•"/>
      <w:lvlJc w:val="left"/>
      <w:pPr>
        <w:tabs>
          <w:tab w:val="num" w:pos="720"/>
        </w:tabs>
        <w:ind w:left="720" w:hanging="360"/>
      </w:pPr>
      <w:rPr>
        <w:rFonts w:ascii="Arial" w:hAnsi="Arial" w:hint="default"/>
      </w:rPr>
    </w:lvl>
    <w:lvl w:ilvl="1" w:tplc="4DEE2816">
      <w:numFmt w:val="bullet"/>
      <w:lvlText w:val="•"/>
      <w:lvlJc w:val="left"/>
      <w:pPr>
        <w:tabs>
          <w:tab w:val="num" w:pos="1440"/>
        </w:tabs>
        <w:ind w:left="1440" w:hanging="360"/>
      </w:pPr>
      <w:rPr>
        <w:rFonts w:ascii="Arial" w:hAnsi="Arial" w:hint="default"/>
      </w:rPr>
    </w:lvl>
    <w:lvl w:ilvl="2" w:tplc="2D848DAE" w:tentative="1">
      <w:start w:val="1"/>
      <w:numFmt w:val="bullet"/>
      <w:lvlText w:val="•"/>
      <w:lvlJc w:val="left"/>
      <w:pPr>
        <w:tabs>
          <w:tab w:val="num" w:pos="2160"/>
        </w:tabs>
        <w:ind w:left="2160" w:hanging="360"/>
      </w:pPr>
      <w:rPr>
        <w:rFonts w:ascii="Arial" w:hAnsi="Arial" w:hint="default"/>
      </w:rPr>
    </w:lvl>
    <w:lvl w:ilvl="3" w:tplc="B9A43EA8" w:tentative="1">
      <w:start w:val="1"/>
      <w:numFmt w:val="bullet"/>
      <w:lvlText w:val="•"/>
      <w:lvlJc w:val="left"/>
      <w:pPr>
        <w:tabs>
          <w:tab w:val="num" w:pos="2880"/>
        </w:tabs>
        <w:ind w:left="2880" w:hanging="360"/>
      </w:pPr>
      <w:rPr>
        <w:rFonts w:ascii="Arial" w:hAnsi="Arial" w:hint="default"/>
      </w:rPr>
    </w:lvl>
    <w:lvl w:ilvl="4" w:tplc="09BA60BA" w:tentative="1">
      <w:start w:val="1"/>
      <w:numFmt w:val="bullet"/>
      <w:lvlText w:val="•"/>
      <w:lvlJc w:val="left"/>
      <w:pPr>
        <w:tabs>
          <w:tab w:val="num" w:pos="3600"/>
        </w:tabs>
        <w:ind w:left="3600" w:hanging="360"/>
      </w:pPr>
      <w:rPr>
        <w:rFonts w:ascii="Arial" w:hAnsi="Arial" w:hint="default"/>
      </w:rPr>
    </w:lvl>
    <w:lvl w:ilvl="5" w:tplc="4BE891B8" w:tentative="1">
      <w:start w:val="1"/>
      <w:numFmt w:val="bullet"/>
      <w:lvlText w:val="•"/>
      <w:lvlJc w:val="left"/>
      <w:pPr>
        <w:tabs>
          <w:tab w:val="num" w:pos="4320"/>
        </w:tabs>
        <w:ind w:left="4320" w:hanging="360"/>
      </w:pPr>
      <w:rPr>
        <w:rFonts w:ascii="Arial" w:hAnsi="Arial" w:hint="default"/>
      </w:rPr>
    </w:lvl>
    <w:lvl w:ilvl="6" w:tplc="DCB0E968" w:tentative="1">
      <w:start w:val="1"/>
      <w:numFmt w:val="bullet"/>
      <w:lvlText w:val="•"/>
      <w:lvlJc w:val="left"/>
      <w:pPr>
        <w:tabs>
          <w:tab w:val="num" w:pos="5040"/>
        </w:tabs>
        <w:ind w:left="5040" w:hanging="360"/>
      </w:pPr>
      <w:rPr>
        <w:rFonts w:ascii="Arial" w:hAnsi="Arial" w:hint="default"/>
      </w:rPr>
    </w:lvl>
    <w:lvl w:ilvl="7" w:tplc="F5101944" w:tentative="1">
      <w:start w:val="1"/>
      <w:numFmt w:val="bullet"/>
      <w:lvlText w:val="•"/>
      <w:lvlJc w:val="left"/>
      <w:pPr>
        <w:tabs>
          <w:tab w:val="num" w:pos="5760"/>
        </w:tabs>
        <w:ind w:left="5760" w:hanging="360"/>
      </w:pPr>
      <w:rPr>
        <w:rFonts w:ascii="Arial" w:hAnsi="Arial" w:hint="default"/>
      </w:rPr>
    </w:lvl>
    <w:lvl w:ilvl="8" w:tplc="8B3A94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40"/>
  </w:num>
  <w:num w:numId="3" w16cid:durableId="1813211327">
    <w:abstractNumId w:val="16"/>
  </w:num>
  <w:num w:numId="4" w16cid:durableId="689525352">
    <w:abstractNumId w:val="19"/>
  </w:num>
  <w:num w:numId="5" w16cid:durableId="923681041">
    <w:abstractNumId w:val="14"/>
  </w:num>
  <w:num w:numId="6" w16cid:durableId="1715036026">
    <w:abstractNumId w:val="38"/>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3"/>
  </w:num>
  <w:num w:numId="12" w16cid:durableId="53435517">
    <w:abstractNumId w:val="5"/>
  </w:num>
  <w:num w:numId="13" w16cid:durableId="2140412589">
    <w:abstractNumId w:val="34"/>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9"/>
  </w:num>
  <w:num w:numId="22" w16cid:durableId="399711259">
    <w:abstractNumId w:val="18"/>
  </w:num>
  <w:num w:numId="23" w16cid:durableId="1547181433">
    <w:abstractNumId w:val="24"/>
  </w:num>
  <w:num w:numId="24" w16cid:durableId="1737586952">
    <w:abstractNumId w:val="10"/>
  </w:num>
  <w:num w:numId="25" w16cid:durableId="136725342">
    <w:abstractNumId w:val="31"/>
  </w:num>
  <w:num w:numId="26" w16cid:durableId="720058865">
    <w:abstractNumId w:val="20"/>
  </w:num>
  <w:num w:numId="27" w16cid:durableId="272711782">
    <w:abstractNumId w:val="6"/>
  </w:num>
  <w:num w:numId="28" w16cid:durableId="1001855276">
    <w:abstractNumId w:val="8"/>
  </w:num>
  <w:num w:numId="29" w16cid:durableId="1378165158">
    <w:abstractNumId w:val="41"/>
  </w:num>
  <w:num w:numId="30" w16cid:durableId="129372776">
    <w:abstractNumId w:val="26"/>
  </w:num>
  <w:num w:numId="31" w16cid:durableId="1392314572">
    <w:abstractNumId w:val="25"/>
  </w:num>
  <w:num w:numId="32" w16cid:durableId="889608438">
    <w:abstractNumId w:val="36"/>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2"/>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2"/>
  </w:num>
  <w:num w:numId="40" w16cid:durableId="1999576659">
    <w:abstractNumId w:val="37"/>
  </w:num>
  <w:num w:numId="41" w16cid:durableId="468207888">
    <w:abstractNumId w:val="30"/>
  </w:num>
  <w:num w:numId="42" w16cid:durableId="1934586189">
    <w:abstractNumId w:val="29"/>
  </w:num>
  <w:num w:numId="43" w16cid:durableId="34868326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4F5E"/>
    <w:rsid w:val="00056119"/>
    <w:rsid w:val="000566FE"/>
    <w:rsid w:val="00057061"/>
    <w:rsid w:val="000572B7"/>
    <w:rsid w:val="000574A1"/>
    <w:rsid w:val="00057FD7"/>
    <w:rsid w:val="000611CA"/>
    <w:rsid w:val="00061DF2"/>
    <w:rsid w:val="00062EEF"/>
    <w:rsid w:val="00063BA1"/>
    <w:rsid w:val="00063FAD"/>
    <w:rsid w:val="00064B04"/>
    <w:rsid w:val="000665F3"/>
    <w:rsid w:val="00066724"/>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FD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2"/>
    <w:rsid w:val="000A478B"/>
    <w:rsid w:val="000A4B91"/>
    <w:rsid w:val="000A50A5"/>
    <w:rsid w:val="000A52EA"/>
    <w:rsid w:val="000A5866"/>
    <w:rsid w:val="000A5B95"/>
    <w:rsid w:val="000A62E4"/>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CE"/>
    <w:rsid w:val="000C213E"/>
    <w:rsid w:val="000C22F0"/>
    <w:rsid w:val="000C296C"/>
    <w:rsid w:val="000C2C99"/>
    <w:rsid w:val="000C37E3"/>
    <w:rsid w:val="000C3BFE"/>
    <w:rsid w:val="000C43AF"/>
    <w:rsid w:val="000C4797"/>
    <w:rsid w:val="000C52D9"/>
    <w:rsid w:val="000C5D25"/>
    <w:rsid w:val="000C7960"/>
    <w:rsid w:val="000C7B02"/>
    <w:rsid w:val="000C7B35"/>
    <w:rsid w:val="000C7C07"/>
    <w:rsid w:val="000D0128"/>
    <w:rsid w:val="000D04B5"/>
    <w:rsid w:val="000D1172"/>
    <w:rsid w:val="000D11E1"/>
    <w:rsid w:val="000D1289"/>
    <w:rsid w:val="000D1F06"/>
    <w:rsid w:val="000D209B"/>
    <w:rsid w:val="000D21B5"/>
    <w:rsid w:val="000D281A"/>
    <w:rsid w:val="000D2854"/>
    <w:rsid w:val="000D2C2C"/>
    <w:rsid w:val="000D373D"/>
    <w:rsid w:val="000D3811"/>
    <w:rsid w:val="000D3DAC"/>
    <w:rsid w:val="000D4FC7"/>
    <w:rsid w:val="000D50BD"/>
    <w:rsid w:val="000D5335"/>
    <w:rsid w:val="000D5577"/>
    <w:rsid w:val="000D5582"/>
    <w:rsid w:val="000D60AB"/>
    <w:rsid w:val="000D64D4"/>
    <w:rsid w:val="000D6725"/>
    <w:rsid w:val="000D69A3"/>
    <w:rsid w:val="000E0F31"/>
    <w:rsid w:val="000E1714"/>
    <w:rsid w:val="000E1B21"/>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A47"/>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01A8"/>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AF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5A1"/>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6C2"/>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8C9"/>
    <w:rsid w:val="00174C18"/>
    <w:rsid w:val="001756A4"/>
    <w:rsid w:val="0017573D"/>
    <w:rsid w:val="0017583D"/>
    <w:rsid w:val="00176173"/>
    <w:rsid w:val="00176D16"/>
    <w:rsid w:val="00177A90"/>
    <w:rsid w:val="00180470"/>
    <w:rsid w:val="00180B10"/>
    <w:rsid w:val="0018117C"/>
    <w:rsid w:val="00181E89"/>
    <w:rsid w:val="00181E8C"/>
    <w:rsid w:val="00182902"/>
    <w:rsid w:val="00182B34"/>
    <w:rsid w:val="00183F45"/>
    <w:rsid w:val="00184B3F"/>
    <w:rsid w:val="00184B9E"/>
    <w:rsid w:val="001856A3"/>
    <w:rsid w:val="0018576F"/>
    <w:rsid w:val="001859BB"/>
    <w:rsid w:val="00185F8A"/>
    <w:rsid w:val="0018610F"/>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082B"/>
    <w:rsid w:val="001A20D2"/>
    <w:rsid w:val="001A31C9"/>
    <w:rsid w:val="001A383C"/>
    <w:rsid w:val="001A38BF"/>
    <w:rsid w:val="001A4794"/>
    <w:rsid w:val="001A573B"/>
    <w:rsid w:val="001A5CFE"/>
    <w:rsid w:val="001A5E13"/>
    <w:rsid w:val="001B058F"/>
    <w:rsid w:val="001B0D02"/>
    <w:rsid w:val="001B136F"/>
    <w:rsid w:val="001B2374"/>
    <w:rsid w:val="001B27F9"/>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67F"/>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D7E06"/>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92"/>
    <w:rsid w:val="002060C1"/>
    <w:rsid w:val="0020667C"/>
    <w:rsid w:val="002068F7"/>
    <w:rsid w:val="00206D2D"/>
    <w:rsid w:val="0020738F"/>
    <w:rsid w:val="00207575"/>
    <w:rsid w:val="002076E7"/>
    <w:rsid w:val="00207D0E"/>
    <w:rsid w:val="002103F2"/>
    <w:rsid w:val="00210934"/>
    <w:rsid w:val="00211BF3"/>
    <w:rsid w:val="0021351B"/>
    <w:rsid w:val="0021424D"/>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2C09"/>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A54"/>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6EFE"/>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9DD"/>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809"/>
    <w:rsid w:val="00290A7D"/>
    <w:rsid w:val="00291D08"/>
    <w:rsid w:val="00291D17"/>
    <w:rsid w:val="00292226"/>
    <w:rsid w:val="002926C6"/>
    <w:rsid w:val="002929CF"/>
    <w:rsid w:val="00292D5E"/>
    <w:rsid w:val="00293790"/>
    <w:rsid w:val="0029478E"/>
    <w:rsid w:val="002948B4"/>
    <w:rsid w:val="002950B7"/>
    <w:rsid w:val="00295348"/>
    <w:rsid w:val="002965DC"/>
    <w:rsid w:val="00296D04"/>
    <w:rsid w:val="00297FF2"/>
    <w:rsid w:val="002A0907"/>
    <w:rsid w:val="002A0D18"/>
    <w:rsid w:val="002A0ED1"/>
    <w:rsid w:val="002A120F"/>
    <w:rsid w:val="002A1409"/>
    <w:rsid w:val="002A1EB5"/>
    <w:rsid w:val="002A281D"/>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1D3A"/>
    <w:rsid w:val="002D3038"/>
    <w:rsid w:val="002D3076"/>
    <w:rsid w:val="002D3118"/>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138"/>
    <w:rsid w:val="00330CAF"/>
    <w:rsid w:val="00330E59"/>
    <w:rsid w:val="00330E5E"/>
    <w:rsid w:val="00330F21"/>
    <w:rsid w:val="0033182D"/>
    <w:rsid w:val="0033194A"/>
    <w:rsid w:val="0033207F"/>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521"/>
    <w:rsid w:val="003379C7"/>
    <w:rsid w:val="00337CF7"/>
    <w:rsid w:val="00337F3A"/>
    <w:rsid w:val="00340405"/>
    <w:rsid w:val="00340D3E"/>
    <w:rsid w:val="003421D3"/>
    <w:rsid w:val="003425D9"/>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38B2"/>
    <w:rsid w:val="00354144"/>
    <w:rsid w:val="00354E7C"/>
    <w:rsid w:val="003554E9"/>
    <w:rsid w:val="00355F78"/>
    <w:rsid w:val="0035643D"/>
    <w:rsid w:val="00357775"/>
    <w:rsid w:val="00357FF5"/>
    <w:rsid w:val="0036000C"/>
    <w:rsid w:val="00360BF6"/>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1E8F"/>
    <w:rsid w:val="003B325B"/>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28D"/>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DD0"/>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72E"/>
    <w:rsid w:val="003E7A07"/>
    <w:rsid w:val="003E7C75"/>
    <w:rsid w:val="003E7D5F"/>
    <w:rsid w:val="003E7FF5"/>
    <w:rsid w:val="003F107F"/>
    <w:rsid w:val="003F1336"/>
    <w:rsid w:val="003F16A8"/>
    <w:rsid w:val="003F1880"/>
    <w:rsid w:val="003F18B4"/>
    <w:rsid w:val="003F1EA8"/>
    <w:rsid w:val="003F223C"/>
    <w:rsid w:val="003F2D45"/>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3FB"/>
    <w:rsid w:val="00406662"/>
    <w:rsid w:val="00406AF7"/>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502A"/>
    <w:rsid w:val="00425921"/>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4C1"/>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1FE"/>
    <w:rsid w:val="0048073C"/>
    <w:rsid w:val="00482722"/>
    <w:rsid w:val="00483E69"/>
    <w:rsid w:val="00483F1C"/>
    <w:rsid w:val="004843C1"/>
    <w:rsid w:val="004843C6"/>
    <w:rsid w:val="00484626"/>
    <w:rsid w:val="00485F22"/>
    <w:rsid w:val="004866B0"/>
    <w:rsid w:val="004868C0"/>
    <w:rsid w:val="004871F8"/>
    <w:rsid w:val="004875F8"/>
    <w:rsid w:val="00487CEF"/>
    <w:rsid w:val="0049054E"/>
    <w:rsid w:val="0049065C"/>
    <w:rsid w:val="00490CBA"/>
    <w:rsid w:val="00490E54"/>
    <w:rsid w:val="00490EF1"/>
    <w:rsid w:val="004917F2"/>
    <w:rsid w:val="004919CA"/>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36D1"/>
    <w:rsid w:val="004D4007"/>
    <w:rsid w:val="004D429E"/>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C50"/>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6BE"/>
    <w:rsid w:val="00500C44"/>
    <w:rsid w:val="005010AE"/>
    <w:rsid w:val="005013D3"/>
    <w:rsid w:val="00501978"/>
    <w:rsid w:val="00501988"/>
    <w:rsid w:val="00503194"/>
    <w:rsid w:val="00504717"/>
    <w:rsid w:val="00506628"/>
    <w:rsid w:val="005071C6"/>
    <w:rsid w:val="0050795F"/>
    <w:rsid w:val="00507F5B"/>
    <w:rsid w:val="00510374"/>
    <w:rsid w:val="00510474"/>
    <w:rsid w:val="0051062B"/>
    <w:rsid w:val="00510A8D"/>
    <w:rsid w:val="00510B43"/>
    <w:rsid w:val="00511950"/>
    <w:rsid w:val="00511968"/>
    <w:rsid w:val="00511BB9"/>
    <w:rsid w:val="00511C33"/>
    <w:rsid w:val="00511EE0"/>
    <w:rsid w:val="00512CCA"/>
    <w:rsid w:val="00513368"/>
    <w:rsid w:val="00513C76"/>
    <w:rsid w:val="00514320"/>
    <w:rsid w:val="00515950"/>
    <w:rsid w:val="00515C9B"/>
    <w:rsid w:val="00516B0F"/>
    <w:rsid w:val="00517781"/>
    <w:rsid w:val="00520A1F"/>
    <w:rsid w:val="00520BD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409"/>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4732B"/>
    <w:rsid w:val="00550576"/>
    <w:rsid w:val="005514D5"/>
    <w:rsid w:val="00551C79"/>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3638"/>
    <w:rsid w:val="005640F1"/>
    <w:rsid w:val="00564BE0"/>
    <w:rsid w:val="00564E59"/>
    <w:rsid w:val="00564EFB"/>
    <w:rsid w:val="00565DCB"/>
    <w:rsid w:val="00566402"/>
    <w:rsid w:val="005667F4"/>
    <w:rsid w:val="005670F8"/>
    <w:rsid w:val="00567C4C"/>
    <w:rsid w:val="00567D95"/>
    <w:rsid w:val="0057065D"/>
    <w:rsid w:val="00571179"/>
    <w:rsid w:val="005712D6"/>
    <w:rsid w:val="00571597"/>
    <w:rsid w:val="005715A7"/>
    <w:rsid w:val="005720CB"/>
    <w:rsid w:val="00572438"/>
    <w:rsid w:val="005724B0"/>
    <w:rsid w:val="00572544"/>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313A"/>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4F78"/>
    <w:rsid w:val="0059531A"/>
    <w:rsid w:val="00595439"/>
    <w:rsid w:val="00595B38"/>
    <w:rsid w:val="005962AE"/>
    <w:rsid w:val="005964EF"/>
    <w:rsid w:val="00596546"/>
    <w:rsid w:val="00597546"/>
    <w:rsid w:val="005976C6"/>
    <w:rsid w:val="0059786A"/>
    <w:rsid w:val="00597962"/>
    <w:rsid w:val="005A0D2A"/>
    <w:rsid w:val="005A14B5"/>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3109"/>
    <w:rsid w:val="005D367E"/>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17E8"/>
    <w:rsid w:val="005F3837"/>
    <w:rsid w:val="005F3E58"/>
    <w:rsid w:val="005F4546"/>
    <w:rsid w:val="005F474B"/>
    <w:rsid w:val="005F50BF"/>
    <w:rsid w:val="005F69C4"/>
    <w:rsid w:val="005F6FED"/>
    <w:rsid w:val="005F71BF"/>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60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5C23"/>
    <w:rsid w:val="0063659A"/>
    <w:rsid w:val="00637ACA"/>
    <w:rsid w:val="00637ECA"/>
    <w:rsid w:val="00640547"/>
    <w:rsid w:val="0064090B"/>
    <w:rsid w:val="006415FD"/>
    <w:rsid w:val="006427D6"/>
    <w:rsid w:val="00642D0E"/>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A7"/>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68"/>
    <w:rsid w:val="00685AE7"/>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4AE"/>
    <w:rsid w:val="006A4BEF"/>
    <w:rsid w:val="006A6F6E"/>
    <w:rsid w:val="006A7232"/>
    <w:rsid w:val="006A77D4"/>
    <w:rsid w:val="006B063F"/>
    <w:rsid w:val="006B065E"/>
    <w:rsid w:val="006B08B6"/>
    <w:rsid w:val="006B1380"/>
    <w:rsid w:val="006B27D6"/>
    <w:rsid w:val="006B2DF7"/>
    <w:rsid w:val="006B2F49"/>
    <w:rsid w:val="006B33CD"/>
    <w:rsid w:val="006B41A3"/>
    <w:rsid w:val="006B41B8"/>
    <w:rsid w:val="006B4220"/>
    <w:rsid w:val="006C033C"/>
    <w:rsid w:val="006C0E17"/>
    <w:rsid w:val="006C0E81"/>
    <w:rsid w:val="006C1C0D"/>
    <w:rsid w:val="006C23BA"/>
    <w:rsid w:val="006C295D"/>
    <w:rsid w:val="006C30DD"/>
    <w:rsid w:val="006C3421"/>
    <w:rsid w:val="006C564F"/>
    <w:rsid w:val="006C57F8"/>
    <w:rsid w:val="006C67A6"/>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0E3B"/>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A01"/>
    <w:rsid w:val="00703E74"/>
    <w:rsid w:val="00705925"/>
    <w:rsid w:val="00705A69"/>
    <w:rsid w:val="00705CF7"/>
    <w:rsid w:val="00705FF0"/>
    <w:rsid w:val="00706853"/>
    <w:rsid w:val="00706CB1"/>
    <w:rsid w:val="00706CC3"/>
    <w:rsid w:val="007074C5"/>
    <w:rsid w:val="00707D95"/>
    <w:rsid w:val="00710A66"/>
    <w:rsid w:val="00710BEC"/>
    <w:rsid w:val="00710EDD"/>
    <w:rsid w:val="00711037"/>
    <w:rsid w:val="00712AFC"/>
    <w:rsid w:val="00712C66"/>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3032E"/>
    <w:rsid w:val="00730B59"/>
    <w:rsid w:val="00730D61"/>
    <w:rsid w:val="007313E2"/>
    <w:rsid w:val="00731504"/>
    <w:rsid w:val="00731E3C"/>
    <w:rsid w:val="007321F8"/>
    <w:rsid w:val="00732C90"/>
    <w:rsid w:val="00733138"/>
    <w:rsid w:val="00733490"/>
    <w:rsid w:val="00733771"/>
    <w:rsid w:val="007339B2"/>
    <w:rsid w:val="00733BAA"/>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196C"/>
    <w:rsid w:val="0074265E"/>
    <w:rsid w:val="0074342F"/>
    <w:rsid w:val="00743858"/>
    <w:rsid w:val="00743AA1"/>
    <w:rsid w:val="007453A7"/>
    <w:rsid w:val="00746ECC"/>
    <w:rsid w:val="007503D1"/>
    <w:rsid w:val="00750482"/>
    <w:rsid w:val="00752300"/>
    <w:rsid w:val="00752309"/>
    <w:rsid w:val="00752DE9"/>
    <w:rsid w:val="0075323E"/>
    <w:rsid w:val="007549CC"/>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615"/>
    <w:rsid w:val="007759A8"/>
    <w:rsid w:val="00775B37"/>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384"/>
    <w:rsid w:val="00791455"/>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D63"/>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1BB4"/>
    <w:rsid w:val="007E2569"/>
    <w:rsid w:val="007E2D81"/>
    <w:rsid w:val="007E36BC"/>
    <w:rsid w:val="007E37AB"/>
    <w:rsid w:val="007E4267"/>
    <w:rsid w:val="007E44DF"/>
    <w:rsid w:val="007E4529"/>
    <w:rsid w:val="007E4C32"/>
    <w:rsid w:val="007E4F11"/>
    <w:rsid w:val="007E5113"/>
    <w:rsid w:val="007E5180"/>
    <w:rsid w:val="007E5775"/>
    <w:rsid w:val="007E583E"/>
    <w:rsid w:val="007E5BBA"/>
    <w:rsid w:val="007E5EB5"/>
    <w:rsid w:val="007E77FF"/>
    <w:rsid w:val="007F06B0"/>
    <w:rsid w:val="007F0F5E"/>
    <w:rsid w:val="007F1158"/>
    <w:rsid w:val="007F19F8"/>
    <w:rsid w:val="007F223F"/>
    <w:rsid w:val="007F2869"/>
    <w:rsid w:val="007F29CB"/>
    <w:rsid w:val="007F29E0"/>
    <w:rsid w:val="007F2B25"/>
    <w:rsid w:val="007F2F09"/>
    <w:rsid w:val="007F389E"/>
    <w:rsid w:val="007F3A04"/>
    <w:rsid w:val="007F46F5"/>
    <w:rsid w:val="007F4E81"/>
    <w:rsid w:val="007F5053"/>
    <w:rsid w:val="007F57AB"/>
    <w:rsid w:val="007F5B5B"/>
    <w:rsid w:val="007F62C0"/>
    <w:rsid w:val="0080200C"/>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365"/>
    <w:rsid w:val="008155CF"/>
    <w:rsid w:val="00815C37"/>
    <w:rsid w:val="0081675C"/>
    <w:rsid w:val="0081696A"/>
    <w:rsid w:val="00817F44"/>
    <w:rsid w:val="00820343"/>
    <w:rsid w:val="00820545"/>
    <w:rsid w:val="008205A2"/>
    <w:rsid w:val="00821DF8"/>
    <w:rsid w:val="008228DD"/>
    <w:rsid w:val="00822F03"/>
    <w:rsid w:val="00822F78"/>
    <w:rsid w:val="00823034"/>
    <w:rsid w:val="00823559"/>
    <w:rsid w:val="00824983"/>
    <w:rsid w:val="008249E9"/>
    <w:rsid w:val="00825156"/>
    <w:rsid w:val="008255E2"/>
    <w:rsid w:val="008264AA"/>
    <w:rsid w:val="0082782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90E"/>
    <w:rsid w:val="00846E8B"/>
    <w:rsid w:val="00851427"/>
    <w:rsid w:val="00851689"/>
    <w:rsid w:val="00851AB3"/>
    <w:rsid w:val="00852130"/>
    <w:rsid w:val="0085226A"/>
    <w:rsid w:val="0085276A"/>
    <w:rsid w:val="00852ABE"/>
    <w:rsid w:val="00852D70"/>
    <w:rsid w:val="00852E6A"/>
    <w:rsid w:val="00853739"/>
    <w:rsid w:val="00853EF4"/>
    <w:rsid w:val="008541A8"/>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322"/>
    <w:rsid w:val="00875119"/>
    <w:rsid w:val="00875253"/>
    <w:rsid w:val="00875EE7"/>
    <w:rsid w:val="0087620A"/>
    <w:rsid w:val="0087766A"/>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49EF"/>
    <w:rsid w:val="008B5D6F"/>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BA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1F63"/>
    <w:rsid w:val="0090248E"/>
    <w:rsid w:val="0090249C"/>
    <w:rsid w:val="009027F0"/>
    <w:rsid w:val="0090384D"/>
    <w:rsid w:val="00903B24"/>
    <w:rsid w:val="00903CEE"/>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E30"/>
    <w:rsid w:val="00923D55"/>
    <w:rsid w:val="009243C2"/>
    <w:rsid w:val="009244ED"/>
    <w:rsid w:val="00924A20"/>
    <w:rsid w:val="009253BE"/>
    <w:rsid w:val="009255C4"/>
    <w:rsid w:val="00925759"/>
    <w:rsid w:val="00925F09"/>
    <w:rsid w:val="009272EA"/>
    <w:rsid w:val="009278C6"/>
    <w:rsid w:val="00927954"/>
    <w:rsid w:val="00927AFD"/>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C61"/>
    <w:rsid w:val="00940F83"/>
    <w:rsid w:val="00940FA0"/>
    <w:rsid w:val="00941AED"/>
    <w:rsid w:val="00942166"/>
    <w:rsid w:val="009430EA"/>
    <w:rsid w:val="009437BA"/>
    <w:rsid w:val="009446FC"/>
    <w:rsid w:val="00945071"/>
    <w:rsid w:val="009457EB"/>
    <w:rsid w:val="00945D75"/>
    <w:rsid w:val="0094630A"/>
    <w:rsid w:val="00946F0E"/>
    <w:rsid w:val="00947D5E"/>
    <w:rsid w:val="00947EFE"/>
    <w:rsid w:val="009500A7"/>
    <w:rsid w:val="0095138A"/>
    <w:rsid w:val="009521F2"/>
    <w:rsid w:val="00952535"/>
    <w:rsid w:val="00952E54"/>
    <w:rsid w:val="009531AE"/>
    <w:rsid w:val="00953584"/>
    <w:rsid w:val="009535B6"/>
    <w:rsid w:val="00953606"/>
    <w:rsid w:val="00954E79"/>
    <w:rsid w:val="00954F20"/>
    <w:rsid w:val="00955355"/>
    <w:rsid w:val="00955867"/>
    <w:rsid w:val="00956055"/>
    <w:rsid w:val="00956BBB"/>
    <w:rsid w:val="0095723C"/>
    <w:rsid w:val="00957296"/>
    <w:rsid w:val="009574C2"/>
    <w:rsid w:val="0096169C"/>
    <w:rsid w:val="009622A5"/>
    <w:rsid w:val="00962769"/>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CBB"/>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2AFC"/>
    <w:rsid w:val="00983634"/>
    <w:rsid w:val="0098371F"/>
    <w:rsid w:val="00983727"/>
    <w:rsid w:val="0098380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048"/>
    <w:rsid w:val="009C6182"/>
    <w:rsid w:val="009C6654"/>
    <w:rsid w:val="009C6A43"/>
    <w:rsid w:val="009C7495"/>
    <w:rsid w:val="009C7D58"/>
    <w:rsid w:val="009D0348"/>
    <w:rsid w:val="009D06E4"/>
    <w:rsid w:val="009D0DC9"/>
    <w:rsid w:val="009D1620"/>
    <w:rsid w:val="009D1BF6"/>
    <w:rsid w:val="009D1CCE"/>
    <w:rsid w:val="009D2918"/>
    <w:rsid w:val="009D337E"/>
    <w:rsid w:val="009D33E2"/>
    <w:rsid w:val="009D3FC1"/>
    <w:rsid w:val="009D483C"/>
    <w:rsid w:val="009D4B82"/>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47D0"/>
    <w:rsid w:val="00A05B33"/>
    <w:rsid w:val="00A05B39"/>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624D"/>
    <w:rsid w:val="00A2653D"/>
    <w:rsid w:val="00A2703C"/>
    <w:rsid w:val="00A272F7"/>
    <w:rsid w:val="00A27662"/>
    <w:rsid w:val="00A278AC"/>
    <w:rsid w:val="00A30415"/>
    <w:rsid w:val="00A3063F"/>
    <w:rsid w:val="00A30B80"/>
    <w:rsid w:val="00A31230"/>
    <w:rsid w:val="00A31261"/>
    <w:rsid w:val="00A313F8"/>
    <w:rsid w:val="00A31D00"/>
    <w:rsid w:val="00A323E7"/>
    <w:rsid w:val="00A333CF"/>
    <w:rsid w:val="00A33C2E"/>
    <w:rsid w:val="00A3553B"/>
    <w:rsid w:val="00A35DCC"/>
    <w:rsid w:val="00A366B8"/>
    <w:rsid w:val="00A36D30"/>
    <w:rsid w:val="00A36F5E"/>
    <w:rsid w:val="00A374E6"/>
    <w:rsid w:val="00A374F0"/>
    <w:rsid w:val="00A378BF"/>
    <w:rsid w:val="00A37A93"/>
    <w:rsid w:val="00A37D87"/>
    <w:rsid w:val="00A40ABE"/>
    <w:rsid w:val="00A419D7"/>
    <w:rsid w:val="00A41A4C"/>
    <w:rsid w:val="00A41A66"/>
    <w:rsid w:val="00A41A9B"/>
    <w:rsid w:val="00A422C4"/>
    <w:rsid w:val="00A4340F"/>
    <w:rsid w:val="00A4366D"/>
    <w:rsid w:val="00A444A5"/>
    <w:rsid w:val="00A445C4"/>
    <w:rsid w:val="00A446C1"/>
    <w:rsid w:val="00A44E28"/>
    <w:rsid w:val="00A4569E"/>
    <w:rsid w:val="00A45A50"/>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85"/>
    <w:rsid w:val="00A628F1"/>
    <w:rsid w:val="00A629D0"/>
    <w:rsid w:val="00A63188"/>
    <w:rsid w:val="00A6361D"/>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4E2"/>
    <w:rsid w:val="00A90FC4"/>
    <w:rsid w:val="00A91468"/>
    <w:rsid w:val="00A91B76"/>
    <w:rsid w:val="00A91BCE"/>
    <w:rsid w:val="00A925BA"/>
    <w:rsid w:val="00A9262B"/>
    <w:rsid w:val="00A93925"/>
    <w:rsid w:val="00A939B4"/>
    <w:rsid w:val="00A93B14"/>
    <w:rsid w:val="00A93D71"/>
    <w:rsid w:val="00A9403E"/>
    <w:rsid w:val="00A95877"/>
    <w:rsid w:val="00A95C28"/>
    <w:rsid w:val="00A95C58"/>
    <w:rsid w:val="00A95C7E"/>
    <w:rsid w:val="00A97473"/>
    <w:rsid w:val="00AA0815"/>
    <w:rsid w:val="00AA0D32"/>
    <w:rsid w:val="00AA0F64"/>
    <w:rsid w:val="00AA116D"/>
    <w:rsid w:val="00AA1FFE"/>
    <w:rsid w:val="00AA22B8"/>
    <w:rsid w:val="00AA305A"/>
    <w:rsid w:val="00AA46E9"/>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3F27"/>
    <w:rsid w:val="00AB47FD"/>
    <w:rsid w:val="00AB4CF2"/>
    <w:rsid w:val="00AB5404"/>
    <w:rsid w:val="00AB57FD"/>
    <w:rsid w:val="00AB587D"/>
    <w:rsid w:val="00AB67E7"/>
    <w:rsid w:val="00AB6AE4"/>
    <w:rsid w:val="00AB6E61"/>
    <w:rsid w:val="00AB738B"/>
    <w:rsid w:val="00AB75B6"/>
    <w:rsid w:val="00AC1189"/>
    <w:rsid w:val="00AC167E"/>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601"/>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CFA"/>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40"/>
    <w:rsid w:val="00B37C78"/>
    <w:rsid w:val="00B402DC"/>
    <w:rsid w:val="00B407A6"/>
    <w:rsid w:val="00B40C23"/>
    <w:rsid w:val="00B4171C"/>
    <w:rsid w:val="00B41FB6"/>
    <w:rsid w:val="00B427F1"/>
    <w:rsid w:val="00B431F5"/>
    <w:rsid w:val="00B43234"/>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7B"/>
    <w:rsid w:val="00B857E4"/>
    <w:rsid w:val="00B8583C"/>
    <w:rsid w:val="00B868A6"/>
    <w:rsid w:val="00B8782F"/>
    <w:rsid w:val="00B87BAB"/>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3CB"/>
    <w:rsid w:val="00BA75BE"/>
    <w:rsid w:val="00BA78BC"/>
    <w:rsid w:val="00BB1435"/>
    <w:rsid w:val="00BB17DE"/>
    <w:rsid w:val="00BB1919"/>
    <w:rsid w:val="00BB3E31"/>
    <w:rsid w:val="00BB4071"/>
    <w:rsid w:val="00BB4BE8"/>
    <w:rsid w:val="00BB56A0"/>
    <w:rsid w:val="00BB5764"/>
    <w:rsid w:val="00BB5EBC"/>
    <w:rsid w:val="00BB6120"/>
    <w:rsid w:val="00BB63B7"/>
    <w:rsid w:val="00BB6BA7"/>
    <w:rsid w:val="00BB701B"/>
    <w:rsid w:val="00BB7505"/>
    <w:rsid w:val="00BB7650"/>
    <w:rsid w:val="00BB7668"/>
    <w:rsid w:val="00BC056E"/>
    <w:rsid w:val="00BC0DC7"/>
    <w:rsid w:val="00BC0E58"/>
    <w:rsid w:val="00BC1706"/>
    <w:rsid w:val="00BC17D2"/>
    <w:rsid w:val="00BC1D22"/>
    <w:rsid w:val="00BC3397"/>
    <w:rsid w:val="00BC393F"/>
    <w:rsid w:val="00BC3AB4"/>
    <w:rsid w:val="00BC4109"/>
    <w:rsid w:val="00BC440C"/>
    <w:rsid w:val="00BC536A"/>
    <w:rsid w:val="00BC5444"/>
    <w:rsid w:val="00BC5953"/>
    <w:rsid w:val="00BC5F1B"/>
    <w:rsid w:val="00BC6552"/>
    <w:rsid w:val="00BC66B3"/>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26CF"/>
    <w:rsid w:val="00C04197"/>
    <w:rsid w:val="00C046B8"/>
    <w:rsid w:val="00C05B30"/>
    <w:rsid w:val="00C102A9"/>
    <w:rsid w:val="00C102E7"/>
    <w:rsid w:val="00C105CD"/>
    <w:rsid w:val="00C106ED"/>
    <w:rsid w:val="00C114FF"/>
    <w:rsid w:val="00C13F19"/>
    <w:rsid w:val="00C15E01"/>
    <w:rsid w:val="00C1644F"/>
    <w:rsid w:val="00C165FE"/>
    <w:rsid w:val="00C16E42"/>
    <w:rsid w:val="00C176F5"/>
    <w:rsid w:val="00C179F3"/>
    <w:rsid w:val="00C17A7F"/>
    <w:rsid w:val="00C17D43"/>
    <w:rsid w:val="00C17F95"/>
    <w:rsid w:val="00C2017A"/>
    <w:rsid w:val="00C216EE"/>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4381"/>
    <w:rsid w:val="00C45333"/>
    <w:rsid w:val="00C46324"/>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3BC"/>
    <w:rsid w:val="00C965E0"/>
    <w:rsid w:val="00C97256"/>
    <w:rsid w:val="00C976B2"/>
    <w:rsid w:val="00C97904"/>
    <w:rsid w:val="00C97A95"/>
    <w:rsid w:val="00C97DA8"/>
    <w:rsid w:val="00C97E21"/>
    <w:rsid w:val="00CA01D2"/>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3"/>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BE2"/>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58B"/>
    <w:rsid w:val="00CE07B6"/>
    <w:rsid w:val="00CE0BD7"/>
    <w:rsid w:val="00CE104F"/>
    <w:rsid w:val="00CE125D"/>
    <w:rsid w:val="00CE2CF7"/>
    <w:rsid w:val="00CE3124"/>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085"/>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0D6"/>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C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679"/>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47A0"/>
    <w:rsid w:val="00DA542D"/>
    <w:rsid w:val="00DA5AD6"/>
    <w:rsid w:val="00DA5D3C"/>
    <w:rsid w:val="00DA60B9"/>
    <w:rsid w:val="00DA646B"/>
    <w:rsid w:val="00DA71A6"/>
    <w:rsid w:val="00DB0099"/>
    <w:rsid w:val="00DB00D9"/>
    <w:rsid w:val="00DB0EF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AA2"/>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2E7"/>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4C49"/>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85E"/>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0CDD"/>
    <w:rsid w:val="00E110DD"/>
    <w:rsid w:val="00E11B6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3D79"/>
    <w:rsid w:val="00E24EC6"/>
    <w:rsid w:val="00E25037"/>
    <w:rsid w:val="00E25633"/>
    <w:rsid w:val="00E25CF4"/>
    <w:rsid w:val="00E262D7"/>
    <w:rsid w:val="00E26BB7"/>
    <w:rsid w:val="00E307BA"/>
    <w:rsid w:val="00E30A5A"/>
    <w:rsid w:val="00E3122D"/>
    <w:rsid w:val="00E317A8"/>
    <w:rsid w:val="00E3194F"/>
    <w:rsid w:val="00E3279F"/>
    <w:rsid w:val="00E327BC"/>
    <w:rsid w:val="00E32FBC"/>
    <w:rsid w:val="00E33307"/>
    <w:rsid w:val="00E33C8A"/>
    <w:rsid w:val="00E357A4"/>
    <w:rsid w:val="00E374D7"/>
    <w:rsid w:val="00E37A26"/>
    <w:rsid w:val="00E406D2"/>
    <w:rsid w:val="00E40979"/>
    <w:rsid w:val="00E40EA7"/>
    <w:rsid w:val="00E411CE"/>
    <w:rsid w:val="00E4151C"/>
    <w:rsid w:val="00E41539"/>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3EB0"/>
    <w:rsid w:val="00EA413D"/>
    <w:rsid w:val="00EA48C8"/>
    <w:rsid w:val="00EA4E3E"/>
    <w:rsid w:val="00EA57FA"/>
    <w:rsid w:val="00EA5F50"/>
    <w:rsid w:val="00EA750F"/>
    <w:rsid w:val="00EA76D1"/>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9AE"/>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5B7A"/>
    <w:rsid w:val="00EF6148"/>
    <w:rsid w:val="00EF629B"/>
    <w:rsid w:val="00EF63D0"/>
    <w:rsid w:val="00EF65B1"/>
    <w:rsid w:val="00EF742D"/>
    <w:rsid w:val="00EF7635"/>
    <w:rsid w:val="00EF7B6E"/>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6F2"/>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6AA9"/>
    <w:rsid w:val="00F67C63"/>
    <w:rsid w:val="00F711FA"/>
    <w:rsid w:val="00F71FC2"/>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067"/>
    <w:rsid w:val="00F85AC2"/>
    <w:rsid w:val="00F85AF2"/>
    <w:rsid w:val="00F86385"/>
    <w:rsid w:val="00F86ABD"/>
    <w:rsid w:val="00F877C1"/>
    <w:rsid w:val="00F87C0D"/>
    <w:rsid w:val="00F87DA5"/>
    <w:rsid w:val="00F87EF0"/>
    <w:rsid w:val="00F90CB8"/>
    <w:rsid w:val="00F91C22"/>
    <w:rsid w:val="00F92350"/>
    <w:rsid w:val="00F9288C"/>
    <w:rsid w:val="00F92E99"/>
    <w:rsid w:val="00F92FEB"/>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A73BF"/>
    <w:rsid w:val="00FA7BC8"/>
    <w:rsid w:val="00FA7D6C"/>
    <w:rsid w:val="00FB0A4B"/>
    <w:rsid w:val="00FB0F59"/>
    <w:rsid w:val="00FB1A6C"/>
    <w:rsid w:val="00FB28D6"/>
    <w:rsid w:val="00FB2F8E"/>
    <w:rsid w:val="00FB3B38"/>
    <w:rsid w:val="00FB3FA8"/>
    <w:rsid w:val="00FB4ACC"/>
    <w:rsid w:val="00FB5521"/>
    <w:rsid w:val="00FB561D"/>
    <w:rsid w:val="00FB5664"/>
    <w:rsid w:val="00FB586C"/>
    <w:rsid w:val="00FB5DC1"/>
    <w:rsid w:val="00FB6014"/>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D7A77"/>
    <w:rsid w:val="00FE00C2"/>
    <w:rsid w:val="00FE0C18"/>
    <w:rsid w:val="00FE131F"/>
    <w:rsid w:val="00FE165B"/>
    <w:rsid w:val="00FE209B"/>
    <w:rsid w:val="00FE25B0"/>
    <w:rsid w:val="00FE2653"/>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39499583">
      <w:bodyDiv w:val="1"/>
      <w:marLeft w:val="0"/>
      <w:marRight w:val="0"/>
      <w:marTop w:val="0"/>
      <w:marBottom w:val="0"/>
      <w:divBdr>
        <w:top w:val="none" w:sz="0" w:space="0" w:color="auto"/>
        <w:left w:val="none" w:sz="0" w:space="0" w:color="auto"/>
        <w:bottom w:val="none" w:sz="0" w:space="0" w:color="auto"/>
        <w:right w:val="none" w:sz="0" w:space="0" w:color="auto"/>
      </w:divBdr>
      <w:divsChild>
        <w:div w:id="1204905205">
          <w:marLeft w:val="274"/>
          <w:marRight w:val="0"/>
          <w:marTop w:val="180"/>
          <w:marBottom w:val="60"/>
          <w:divBdr>
            <w:top w:val="none" w:sz="0" w:space="0" w:color="auto"/>
            <w:left w:val="none" w:sz="0" w:space="0" w:color="auto"/>
            <w:bottom w:val="none" w:sz="0" w:space="0" w:color="auto"/>
            <w:right w:val="none" w:sz="0" w:space="0" w:color="auto"/>
          </w:divBdr>
        </w:div>
        <w:div w:id="715589203">
          <w:marLeft w:val="634"/>
          <w:marRight w:val="0"/>
          <w:marTop w:val="0"/>
          <w:marBottom w:val="0"/>
          <w:divBdr>
            <w:top w:val="none" w:sz="0" w:space="0" w:color="auto"/>
            <w:left w:val="none" w:sz="0" w:space="0" w:color="auto"/>
            <w:bottom w:val="none" w:sz="0" w:space="0" w:color="auto"/>
            <w:right w:val="none" w:sz="0" w:space="0" w:color="auto"/>
          </w:divBdr>
        </w:div>
        <w:div w:id="941954660">
          <w:marLeft w:val="634"/>
          <w:marRight w:val="0"/>
          <w:marTop w:val="0"/>
          <w:marBottom w:val="0"/>
          <w:divBdr>
            <w:top w:val="none" w:sz="0" w:space="0" w:color="auto"/>
            <w:left w:val="none" w:sz="0" w:space="0" w:color="auto"/>
            <w:bottom w:val="none" w:sz="0" w:space="0" w:color="auto"/>
            <w:right w:val="none" w:sz="0" w:space="0" w:color="auto"/>
          </w:divBdr>
        </w:div>
        <w:div w:id="2001232733">
          <w:marLeft w:val="274"/>
          <w:marRight w:val="0"/>
          <w:marTop w:val="180"/>
          <w:marBottom w:val="60"/>
          <w:divBdr>
            <w:top w:val="none" w:sz="0" w:space="0" w:color="auto"/>
            <w:left w:val="none" w:sz="0" w:space="0" w:color="auto"/>
            <w:bottom w:val="none" w:sz="0" w:space="0" w:color="auto"/>
            <w:right w:val="none" w:sz="0" w:space="0" w:color="auto"/>
          </w:divBdr>
        </w:div>
        <w:div w:id="190144215">
          <w:marLeft w:val="634"/>
          <w:marRight w:val="0"/>
          <w:marTop w:val="0"/>
          <w:marBottom w:val="0"/>
          <w:divBdr>
            <w:top w:val="none" w:sz="0" w:space="0" w:color="auto"/>
            <w:left w:val="none" w:sz="0" w:space="0" w:color="auto"/>
            <w:bottom w:val="none" w:sz="0" w:space="0" w:color="auto"/>
            <w:right w:val="none" w:sz="0" w:space="0" w:color="auto"/>
          </w:divBdr>
        </w:div>
        <w:div w:id="845248528">
          <w:marLeft w:val="634"/>
          <w:marRight w:val="0"/>
          <w:marTop w:val="0"/>
          <w:marBottom w:val="0"/>
          <w:divBdr>
            <w:top w:val="none" w:sz="0" w:space="0" w:color="auto"/>
            <w:left w:val="none" w:sz="0" w:space="0" w:color="auto"/>
            <w:bottom w:val="none" w:sz="0" w:space="0" w:color="auto"/>
            <w:right w:val="none" w:sz="0" w:space="0" w:color="auto"/>
          </w:divBdr>
        </w:div>
        <w:div w:id="2035376349">
          <w:marLeft w:val="274"/>
          <w:marRight w:val="0"/>
          <w:marTop w:val="180"/>
          <w:marBottom w:val="60"/>
          <w:divBdr>
            <w:top w:val="none" w:sz="0" w:space="0" w:color="auto"/>
            <w:left w:val="none" w:sz="0" w:space="0" w:color="auto"/>
            <w:bottom w:val="none" w:sz="0" w:space="0" w:color="auto"/>
            <w:right w:val="none" w:sz="0" w:space="0" w:color="auto"/>
          </w:divBdr>
        </w:div>
        <w:div w:id="215817842">
          <w:marLeft w:val="634"/>
          <w:marRight w:val="0"/>
          <w:marTop w:val="0"/>
          <w:marBottom w:val="0"/>
          <w:divBdr>
            <w:top w:val="none" w:sz="0" w:space="0" w:color="auto"/>
            <w:left w:val="none" w:sz="0" w:space="0" w:color="auto"/>
            <w:bottom w:val="none" w:sz="0" w:space="0" w:color="auto"/>
            <w:right w:val="none" w:sz="0" w:space="0" w:color="auto"/>
          </w:divBdr>
        </w:div>
        <w:div w:id="1207184447">
          <w:marLeft w:val="634"/>
          <w:marRight w:val="0"/>
          <w:marTop w:val="0"/>
          <w:marBottom w:val="0"/>
          <w:divBdr>
            <w:top w:val="none" w:sz="0" w:space="0" w:color="auto"/>
            <w:left w:val="none" w:sz="0" w:space="0" w:color="auto"/>
            <w:bottom w:val="none" w:sz="0" w:space="0" w:color="auto"/>
            <w:right w:val="none" w:sz="0" w:space="0" w:color="auto"/>
          </w:divBdr>
        </w:div>
        <w:div w:id="38558647">
          <w:marLeft w:val="634"/>
          <w:marRight w:val="0"/>
          <w:marTop w:val="0"/>
          <w:marBottom w:val="0"/>
          <w:divBdr>
            <w:top w:val="none" w:sz="0" w:space="0" w:color="auto"/>
            <w:left w:val="none" w:sz="0" w:space="0" w:color="auto"/>
            <w:bottom w:val="none" w:sz="0" w:space="0" w:color="auto"/>
            <w:right w:val="none" w:sz="0" w:space="0" w:color="auto"/>
          </w:divBdr>
        </w:div>
        <w:div w:id="1913275274">
          <w:marLeft w:val="274"/>
          <w:marRight w:val="0"/>
          <w:marTop w:val="180"/>
          <w:marBottom w:val="60"/>
          <w:divBdr>
            <w:top w:val="none" w:sz="0" w:space="0" w:color="auto"/>
            <w:left w:val="none" w:sz="0" w:space="0" w:color="auto"/>
            <w:bottom w:val="none" w:sz="0" w:space="0" w:color="auto"/>
            <w:right w:val="none" w:sz="0" w:space="0" w:color="auto"/>
          </w:divBdr>
        </w:div>
        <w:div w:id="1366129873">
          <w:marLeft w:val="634"/>
          <w:marRight w:val="0"/>
          <w:marTop w:val="0"/>
          <w:marBottom w:val="0"/>
          <w:divBdr>
            <w:top w:val="none" w:sz="0" w:space="0" w:color="auto"/>
            <w:left w:val="none" w:sz="0" w:space="0" w:color="auto"/>
            <w:bottom w:val="none" w:sz="0" w:space="0" w:color="auto"/>
            <w:right w:val="none" w:sz="0" w:space="0" w:color="auto"/>
          </w:divBdr>
        </w:div>
        <w:div w:id="2088915332">
          <w:marLeft w:val="634"/>
          <w:marRight w:val="0"/>
          <w:marTop w:val="0"/>
          <w:marBottom w:val="0"/>
          <w:divBdr>
            <w:top w:val="none" w:sz="0" w:space="0" w:color="auto"/>
            <w:left w:val="none" w:sz="0" w:space="0" w:color="auto"/>
            <w:bottom w:val="none" w:sz="0" w:space="0" w:color="auto"/>
            <w:right w:val="none" w:sz="0" w:space="0" w:color="auto"/>
          </w:divBdr>
        </w:div>
      </w:divsChild>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18475135">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08082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46048226">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160</TotalTime>
  <Pages>2</Pages>
  <Words>840</Words>
  <Characters>4289</Characters>
  <Application>Microsoft Office Word</Application>
  <DocSecurity>0</DocSecurity>
  <Lines>35</Lines>
  <Paragraphs>10</Paragraphs>
  <ScaleCrop>false</ScaleCrop>
  <Company>NEC Group</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144</cp:revision>
  <cp:lastPrinted>2012-09-28T09:55:00Z</cp:lastPrinted>
  <dcterms:created xsi:type="dcterms:W3CDTF">2024-11-08T13:53:00Z</dcterms:created>
  <dcterms:modified xsi:type="dcterms:W3CDTF">2025-02-07T17:37:00Z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